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C239" w14:textId="77777777" w:rsidR="00AB18EB" w:rsidRDefault="00AB18EB" w:rsidP="00AB18E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AB18EB">
        <w:rPr>
          <w:rFonts w:ascii="Calibri" w:eastAsia="Times New Roman" w:hAnsi="Calibri" w:cs="Calibri"/>
          <w:sz w:val="20"/>
          <w:szCs w:val="20"/>
          <w:lang w:eastAsia="en-GB"/>
        </w:rPr>
        <w:t> </w:t>
      </w:r>
      <w:r w:rsidRPr="00AB18EB">
        <w:rPr>
          <w:noProof/>
        </w:rPr>
        <w:drawing>
          <wp:inline distT="0" distB="0" distL="0" distR="0" wp14:anchorId="7CA9DA41" wp14:editId="1B26F510">
            <wp:extent cx="1587500" cy="622300"/>
            <wp:effectExtent l="0" t="0" r="0" b="6350"/>
            <wp:docPr id="1" name="Picture 1" descr="C:\Users\Rskinner\AppData\Local\Microsoft\Windows\INetCache\Content.MSO\5F0552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kinner\AppData\Local\Microsoft\Windows\INetCache\Content.MSO\5F0552F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D867" w14:textId="77777777" w:rsidR="00AB18EB" w:rsidRDefault="00AB18EB" w:rsidP="00AB18E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32A2B9C3" w14:textId="77777777" w:rsidR="00AB18EB" w:rsidRPr="00AB18EB" w:rsidRDefault="00AB18EB" w:rsidP="00AB18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bookmarkStart w:id="0" w:name="_GoBack"/>
      <w:bookmarkEnd w:id="0"/>
      <w:r w:rsidRPr="00AB18E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ECT Formal Lesson Observation Form</w:t>
      </w:r>
    </w:p>
    <w:p w14:paraId="27BD43C9" w14:textId="77777777" w:rsidR="00AB18EB" w:rsidRPr="00AB18EB" w:rsidRDefault="00AB18EB" w:rsidP="00AB18E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B18E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tbl>
      <w:tblPr>
        <w:tblW w:w="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3065"/>
        <w:gridCol w:w="1266"/>
        <w:gridCol w:w="3492"/>
      </w:tblGrid>
      <w:tr w:rsidR="00AB18EB" w:rsidRPr="00AB18EB" w14:paraId="59B981F4" w14:textId="77777777" w:rsidTr="00AB18EB">
        <w:trPr>
          <w:trHeight w:val="3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2DE369C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ECT: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E1C82D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C94775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School: 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71690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5C76557E" w14:textId="77777777" w:rsidTr="00AB18EB">
        <w:trPr>
          <w:trHeight w:val="3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BB605B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Phase/Subject: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6C606A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BBCF27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Observer: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6BC65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15AC31BA" w14:textId="77777777" w:rsidTr="00AB18EB">
        <w:trPr>
          <w:trHeight w:val="3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BAA4B4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Group: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4D76BE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D11955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Date: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5C891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567348AE" w14:textId="77777777" w:rsidTr="00AB18EB">
        <w:trPr>
          <w:trHeight w:val="34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FC7840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of students: 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9DF443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B06CFC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Duration: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1AD55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74EC9B4E" w14:textId="77777777" w:rsidTr="00AB18EB">
        <w:trPr>
          <w:trHeight w:val="345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81AE6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Lesson Context: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18EB" w:rsidRPr="00AB18EB" w14:paraId="3C2F3CBF" w14:textId="77777777" w:rsidTr="00AB18EB">
        <w:trPr>
          <w:trHeight w:val="345"/>
        </w:trPr>
        <w:tc>
          <w:tcPr>
            <w:tcW w:w="110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EF08E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Focus of the lesson: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B3A37F6" w14:textId="77777777" w:rsidR="00AB18EB" w:rsidRPr="00AB18EB" w:rsidRDefault="00AB18EB" w:rsidP="00AB18E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B18E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tbl>
      <w:tblPr>
        <w:tblW w:w="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794"/>
        <w:gridCol w:w="3635"/>
        <w:gridCol w:w="3385"/>
      </w:tblGrid>
      <w:tr w:rsidR="00AB18EB" w:rsidRPr="00AB18EB" w14:paraId="3A12AAA1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81CAA3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Standards DfE 2011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54782D8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Amplification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351B7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Observations/comments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 </w:t>
            </w:r>
          </w:p>
        </w:tc>
      </w:tr>
      <w:tr w:rsidR="00AB18EB" w:rsidRPr="00AB18EB" w14:paraId="3155AD6C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28B176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1. Set high expectations which inspire, motivate and challenge students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292CE6F1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A474C2" w14:textId="77777777" w:rsidR="00AB18EB" w:rsidRPr="00AB18EB" w:rsidRDefault="00AB18EB" w:rsidP="00AB18E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establish a safe and stimulating environment for students, rooted in mutual respect  </w:t>
            </w:r>
          </w:p>
          <w:p w14:paraId="521FFBB6" w14:textId="77777777" w:rsidR="00AB18EB" w:rsidRPr="00AB18EB" w:rsidRDefault="00AB18EB" w:rsidP="00AB18E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set goals that stretch and challenge students of all backgrounds, abilities and dispositions   </w:t>
            </w:r>
          </w:p>
          <w:p w14:paraId="300848AA" w14:textId="77777777" w:rsidR="00AB18EB" w:rsidRPr="00AB18EB" w:rsidRDefault="00AB18EB" w:rsidP="00AB18E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consistently the positive attitudes, values and behaviour which are expected of students. 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8698A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0D55BDF3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EADD5A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2. Promote good progress and outcomes by students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533AACB9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0D0105AF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43C132" w14:textId="77777777" w:rsidR="00AB18EB" w:rsidRPr="00AB18EB" w:rsidRDefault="00AB18EB" w:rsidP="00AB18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 accountable for students’ attainment, progress and outcomes  </w:t>
            </w:r>
          </w:p>
          <w:p w14:paraId="715784F6" w14:textId="77777777" w:rsidR="00AB18EB" w:rsidRPr="00AB18EB" w:rsidRDefault="00AB18EB" w:rsidP="00AB18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 aware of students’ capabilities and their prior knowledge, and plan teaching to build on these  </w:t>
            </w:r>
          </w:p>
          <w:p w14:paraId="4594BD7D" w14:textId="77777777" w:rsidR="00AB18EB" w:rsidRPr="00AB18EB" w:rsidRDefault="00AB18EB" w:rsidP="00AB18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guide students to reflect on the progress they have made and their emerging needs  </w:t>
            </w:r>
          </w:p>
          <w:p w14:paraId="76364271" w14:textId="77777777" w:rsidR="00AB18EB" w:rsidRPr="00AB18EB" w:rsidRDefault="00AB18EB" w:rsidP="00AB18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knowledge and understanding of how students learn and how </w:t>
            </w:r>
            <w:proofErr w:type="gramStart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this impacts</w:t>
            </w:r>
            <w:proofErr w:type="gramEnd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on teaching  </w:t>
            </w:r>
          </w:p>
          <w:p w14:paraId="1A9FE7AF" w14:textId="77777777" w:rsidR="00AB18EB" w:rsidRPr="00AB18EB" w:rsidRDefault="00AB18EB" w:rsidP="00AB18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encourage students to take a responsible and conscientious attitude to their own work and study.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7D728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264C646D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64D165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3.</w:t>
            </w:r>
            <w:r w:rsidRPr="00AB18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Demonstrate good subject and curriculum knowledge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0FC1D96D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  <w:p w14:paraId="1ABED3E3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  <w:p w14:paraId="25D3622A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  <w:p w14:paraId="3969AFAA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84CE66" w14:textId="77777777" w:rsidR="00AB18EB" w:rsidRPr="00AB18EB" w:rsidRDefault="00AB18EB" w:rsidP="00AB18E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 a secure knowledge of the relevant subject(s) and curriculum areas, foster and maintain students’ interest in the subject, and address misunderstandings </w:t>
            </w:r>
          </w:p>
          <w:p w14:paraId="4FEED707" w14:textId="77777777" w:rsidR="00AB18EB" w:rsidRPr="00AB18EB" w:rsidRDefault="00AB18EB" w:rsidP="00AB18E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a critical understanding of developments in the subject and curriculum areas, and promote the value of scholarship </w:t>
            </w:r>
          </w:p>
          <w:p w14:paraId="18BBF552" w14:textId="77777777" w:rsidR="00AB18EB" w:rsidRPr="00AB18EB" w:rsidRDefault="00AB18EB" w:rsidP="00AB18E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an understanding of, and take responsibility for promoting high standards of literacy, articulacy, and the correct use of standard English, whatever the teacher’s specialist subject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F1317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24F42D62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B561DE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4.</w:t>
            </w:r>
            <w:r w:rsidRPr="00AB18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Plan and teach well-structured lessons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58786B4C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1EB920CC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F2BF1F3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3EDC7D4" w14:textId="77777777" w:rsidR="00AB18EB" w:rsidRPr="00AB18EB" w:rsidRDefault="00AB18EB" w:rsidP="00AB18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impart knowledge and develop understanding through effective use of lesson time  </w:t>
            </w:r>
          </w:p>
          <w:p w14:paraId="2417CD9C" w14:textId="77777777" w:rsidR="00AB18EB" w:rsidRPr="00AB18EB" w:rsidRDefault="00AB18EB" w:rsidP="00AB18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promote a love of learning and children’s intellectual curiosity  </w:t>
            </w:r>
          </w:p>
          <w:p w14:paraId="403798FD" w14:textId="77777777" w:rsidR="00AB18EB" w:rsidRPr="00AB18EB" w:rsidRDefault="00AB18EB" w:rsidP="00AB18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set homework and plan other out-of-class activities to consolidate and extend the knowledge and understanding students have acquired  </w:t>
            </w:r>
          </w:p>
          <w:p w14:paraId="2FF4E80B" w14:textId="77777777" w:rsidR="00AB18EB" w:rsidRPr="00AB18EB" w:rsidRDefault="00AB18EB" w:rsidP="00AB18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reflect systematically on the effectiveness of lessons and approaches to teaching 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6C86F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 </w:t>
            </w:r>
          </w:p>
        </w:tc>
      </w:tr>
      <w:tr w:rsidR="00AB18EB" w:rsidRPr="00AB18EB" w14:paraId="17B5C1D2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67DC106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5.   Adapt teaching to respond to the strengths and needs of all students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6162D466" w14:textId="77777777" w:rsidR="00AB18EB" w:rsidRPr="00AB18EB" w:rsidRDefault="00AB18EB" w:rsidP="00AB18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277B495D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FBA3560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9E6D61" w14:textId="77777777" w:rsidR="00AB18EB" w:rsidRPr="00AB18EB" w:rsidRDefault="00AB18EB" w:rsidP="00AB18E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know when and how to differentiate appropriately, using approaches which enable students to be taught effectively </w:t>
            </w:r>
          </w:p>
          <w:p w14:paraId="09D70359" w14:textId="77777777" w:rsidR="00AB18EB" w:rsidRPr="00AB18EB" w:rsidRDefault="00AB18EB" w:rsidP="00AB18E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 a secure understanding of how a range of factors can inhibit students’ ability to learn, and how best to overcome these </w:t>
            </w:r>
          </w:p>
          <w:p w14:paraId="18A83065" w14:textId="77777777" w:rsidR="00AB18EB" w:rsidRPr="00AB18EB" w:rsidRDefault="00AB18EB" w:rsidP="00AB18E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an awareness of the physical, social and intellectual development of children, and know how to adapt teaching to support pupil’ education at different stages of development </w:t>
            </w:r>
          </w:p>
          <w:p w14:paraId="07555BFA" w14:textId="77777777" w:rsidR="00AB18EB" w:rsidRPr="00AB18EB" w:rsidRDefault="00AB18EB" w:rsidP="00AB18E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 a clear understanding of the needs of all students including those with special needs; those of high ability; those with English as an additional language; those with disabilities; and be able to use and evaluate distinctive teaching approaches to engage and support them.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62BA8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0A62A7E5" w14:textId="77777777" w:rsidTr="00AB18EB">
        <w:trPr>
          <w:trHeight w:val="171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D95D72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6. Make accurate and productive use of assessment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57E2B52E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2F4D8C97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173F64" w14:textId="77777777" w:rsidR="00AB18EB" w:rsidRPr="00AB18EB" w:rsidRDefault="00AB18EB" w:rsidP="00AB18E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know and understand how to assess the relevant subject and curriculum areas, including statutory assessment requirements   </w:t>
            </w:r>
          </w:p>
          <w:p w14:paraId="0FE7C48F" w14:textId="77777777" w:rsidR="00AB18EB" w:rsidRPr="00AB18EB" w:rsidRDefault="00AB18EB" w:rsidP="00AB18E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make use of formative and summative assessment to secure students’ progress  </w:t>
            </w:r>
          </w:p>
          <w:p w14:paraId="496C64A3" w14:textId="77777777" w:rsidR="00AB18EB" w:rsidRPr="00AB18EB" w:rsidRDefault="00AB18EB" w:rsidP="00AB18E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give students regular feedback, both orally and through accurate marking, and encourage students to respond to the feedback. </w:t>
            </w:r>
          </w:p>
          <w:p w14:paraId="5E5D8E04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E1043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56B2D5C7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CFAF99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7. Manage behaviour effectively to ensure a good and safe learning environment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0B9024ED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3E54F3F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1DF1BC" w14:textId="77777777" w:rsidR="00AB18EB" w:rsidRPr="00AB18EB" w:rsidRDefault="00AB18EB" w:rsidP="00AB18E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 xml:space="preserve">have clear rules and routines for </w:t>
            </w:r>
            <w:proofErr w:type="spellStart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 xml:space="preserve"> in classrooms, and take responsibility for promoting good and courteous </w:t>
            </w:r>
            <w:proofErr w:type="spellStart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 xml:space="preserve"> both in classrooms and around the school, in accordance with the school’s </w:t>
            </w:r>
            <w:proofErr w:type="spellStart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 xml:space="preserve"> policy 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ACFAEEF" w14:textId="77777777" w:rsidR="00AB18EB" w:rsidRPr="00AB18EB" w:rsidRDefault="00AB18EB" w:rsidP="00AB18E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 xml:space="preserve">have high expectations of </w:t>
            </w:r>
            <w:proofErr w:type="spellStart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, establish a framework for discipline with a range of strategies, using praise, sanctions, rewards consistently and fairly 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4C76E78E" w14:textId="77777777" w:rsidR="00AB18EB" w:rsidRPr="00AB18EB" w:rsidRDefault="00AB18EB" w:rsidP="00AB18E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manage classes effectively, using approaches which are appropriate to students’ needs in order to involve and motivate them 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089E1F89" w14:textId="77777777" w:rsidR="00AB18EB" w:rsidRDefault="00AB18EB" w:rsidP="00AB18E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GB"/>
              </w:rPr>
              <w:t>maintain good relationships with students, exercise appropriate authority, and act decisively when necessary.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52C824B" w14:textId="77777777" w:rsidR="00AB18EB" w:rsidRDefault="00AB18EB" w:rsidP="00AB18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78F4194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38570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56949D0F" w14:textId="77777777" w:rsidTr="00AB18EB">
        <w:trPr>
          <w:trHeight w:val="345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5C0270F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8. Fulfil wider professional responsibilities</w:t>
            </w: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57A73647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44DA14BD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7D5A736B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120ACB22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31F832F" w14:textId="77777777" w:rsidR="00AB18EB" w:rsidRPr="00AB18EB" w:rsidRDefault="00AB18EB" w:rsidP="00AB18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deploy support staff effectively </w:t>
            </w:r>
          </w:p>
          <w:p w14:paraId="2AF885E1" w14:textId="77777777" w:rsidR="00AB18EB" w:rsidRPr="00AB18EB" w:rsidRDefault="00AB18EB" w:rsidP="00AB18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take responsibility for improving teaching through appropriate professional development, responding to advice and feedback from colleagues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4E07B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02DC82D1" w14:textId="77777777" w:rsidTr="00AB18EB">
        <w:trPr>
          <w:trHeight w:val="300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A2224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Feedback</w:t>
            </w:r>
            <w:r w:rsidRPr="00AB1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18EB" w:rsidRPr="00AB18EB" w14:paraId="6494A3EB" w14:textId="77777777" w:rsidTr="00AB18EB">
        <w:trPr>
          <w:trHeight w:val="2310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0934731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Strengths: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D1F16A5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CB47B60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EDFDFF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Development points: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F35FDAB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55187C1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1A9B1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 the evidence of this lesson is the ECT likely to satisfactorily meet the Teachers’ Standards? YES/NO             </w:t>
            </w: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D67B614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EC101BE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b/>
                <w:bCs/>
                <w:smallCaps/>
                <w:color w:val="C0504D"/>
                <w:sz w:val="24"/>
                <w:szCs w:val="24"/>
                <w:u w:val="single"/>
                <w:lang w:eastAsia="en-GB"/>
              </w:rPr>
              <w:t>Overall comments</w:t>
            </w:r>
            <w:r w:rsidRPr="00AB18EB">
              <w:rPr>
                <w:rFonts w:ascii="Calibri" w:eastAsia="Times New Roman" w:hAnsi="Calibri" w:cs="Calibri"/>
                <w:color w:val="C0504D"/>
                <w:sz w:val="24"/>
                <w:szCs w:val="24"/>
                <w:lang w:eastAsia="en-GB"/>
              </w:rPr>
              <w:t> </w:t>
            </w:r>
          </w:p>
          <w:p w14:paraId="5D6CC61D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0F93C8C" w14:textId="77777777" w:rsidR="00AB18EB" w:rsidRPr="00AB18EB" w:rsidRDefault="00AB18EB" w:rsidP="00AB18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B18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35615F24" w14:textId="77777777" w:rsidR="00AB18EB" w:rsidRPr="00AB18EB" w:rsidRDefault="00AB18EB" w:rsidP="00AB18E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B18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38BA9B6" w14:textId="77777777" w:rsidR="00AB18EB" w:rsidRPr="00AB18EB" w:rsidRDefault="00AB18EB" w:rsidP="00AB18E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AB18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FFAAFD1" w14:textId="77777777" w:rsidR="00AB18EB" w:rsidRPr="00AB18EB" w:rsidRDefault="00AB18EB" w:rsidP="00AB18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EB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F37B2C6" w14:textId="77777777" w:rsidR="00AB18EB" w:rsidRPr="00AB18EB" w:rsidRDefault="00AB18EB" w:rsidP="00AB18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EB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6D24B90" w14:textId="77777777" w:rsidR="00896AFF" w:rsidRDefault="00896AFF"/>
    <w:sectPr w:rsidR="0089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FB8"/>
    <w:multiLevelType w:val="multilevel"/>
    <w:tmpl w:val="7EB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E08F2"/>
    <w:multiLevelType w:val="multilevel"/>
    <w:tmpl w:val="CC0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344BB"/>
    <w:multiLevelType w:val="multilevel"/>
    <w:tmpl w:val="EB1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053F1"/>
    <w:multiLevelType w:val="multilevel"/>
    <w:tmpl w:val="22D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90B2C"/>
    <w:multiLevelType w:val="multilevel"/>
    <w:tmpl w:val="77E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B45BC3"/>
    <w:multiLevelType w:val="multilevel"/>
    <w:tmpl w:val="FEC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E4189"/>
    <w:multiLevelType w:val="multilevel"/>
    <w:tmpl w:val="C2E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C113E0"/>
    <w:multiLevelType w:val="multilevel"/>
    <w:tmpl w:val="5A8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B"/>
    <w:rsid w:val="00896AFF"/>
    <w:rsid w:val="00AB18EB"/>
    <w:rsid w:val="00C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7A93"/>
  <w15:chartTrackingRefBased/>
  <w15:docId w15:val="{E76356BD-8FCF-4197-B141-8D4DF42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B18EB"/>
  </w:style>
  <w:style w:type="character" w:customStyle="1" w:styleId="normaltextrun">
    <w:name w:val="normaltextrun"/>
    <w:basedOn w:val="DefaultParagraphFont"/>
    <w:rsid w:val="00AB18EB"/>
  </w:style>
  <w:style w:type="character" w:customStyle="1" w:styleId="tabchar">
    <w:name w:val="tabchar"/>
    <w:basedOn w:val="DefaultParagraphFont"/>
    <w:rsid w:val="00A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2A44CCD0D428896580DE80C723F" ma:contentTypeVersion="13" ma:contentTypeDescription="Create a new document." ma:contentTypeScope="" ma:versionID="502509547f2267927a76d23004a1a4a1">
  <xsd:schema xmlns:xsd="http://www.w3.org/2001/XMLSchema" xmlns:xs="http://www.w3.org/2001/XMLSchema" xmlns:p="http://schemas.microsoft.com/office/2006/metadata/properties" xmlns:ns2="30b5951e-19a8-4ff9-b17b-2ace93182e49" xmlns:ns3="a8cef356-5a63-4277-b4b8-0374c944028e" targetNamespace="http://schemas.microsoft.com/office/2006/metadata/properties" ma:root="true" ma:fieldsID="a05ebac09541875dfc3f7bc780c67e8e" ns2:_="" ns3:_="">
    <xsd:import namespace="30b5951e-19a8-4ff9-b17b-2ace93182e49"/>
    <xsd:import namespace="a8cef356-5a63-4277-b4b8-0374c9440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951e-19a8-4ff9-b17b-2ace9318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f356-5a63-4277-b4b8-0374c9440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C3D3F-C4D9-4701-84A8-7A063A7D61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df8887-81f8-4b1e-9d75-101172d11594"/>
    <ds:schemaRef ds:uri="http://purl.org/dc/elements/1.1/"/>
    <ds:schemaRef ds:uri="http://schemas.microsoft.com/office/2006/metadata/properties"/>
    <ds:schemaRef ds:uri="da080f58-f302-439e-aee2-ec1f2178d0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FC453D-F93E-4C51-A42E-726A66340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E27D3-EDAF-49FD-90E4-162B6DC86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Skinner - Institute</dc:creator>
  <cp:keywords/>
  <dc:description/>
  <cp:lastModifiedBy>Rhian Skinner - Institute</cp:lastModifiedBy>
  <cp:revision>2</cp:revision>
  <dcterms:created xsi:type="dcterms:W3CDTF">2021-09-17T09:07:00Z</dcterms:created>
  <dcterms:modified xsi:type="dcterms:W3CDTF">2021-09-21T03:20:00Z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0x0101005B6E22A44CCD0D428896580DE80C723F</vt:lpwstr>
  </property>
</Properties>
</file>